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bidiVisual w:val="1"/>
        <w:tblW w:w="11246.999999999998" w:type="dxa"/>
        <w:jc w:val="righ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720"/>
        <w:gridCol w:w="3473"/>
        <w:gridCol w:w="4054"/>
        <w:tblGridChange w:id="0">
          <w:tblGrid>
            <w:gridCol w:w="3720"/>
            <w:gridCol w:w="3473"/>
            <w:gridCol w:w="4054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1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1"/>
              </w:rPr>
              <w:t xml:space="preserve">وزارة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1"/>
              </w:rPr>
              <w:t xml:space="preserve">المــــالية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12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12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( 40 )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لجان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5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لجان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الطعن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الضريبي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(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موصى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مصحوبا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بعلم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الوصول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)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0" w:val="nil"/>
            </w:tcBorders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إعـلان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بقـرار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لجنة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الطعـن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bidiVisual w:val="1"/>
        <w:tblW w:w="1126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79"/>
        <w:gridCol w:w="1219"/>
        <w:gridCol w:w="1100"/>
        <w:gridCol w:w="2999"/>
        <w:gridCol w:w="720"/>
        <w:gridCol w:w="600"/>
        <w:gridCol w:w="674"/>
        <w:gridCol w:w="890"/>
        <w:gridCol w:w="388"/>
        <w:gridCol w:w="507"/>
        <w:gridCol w:w="884"/>
        <w:tblGridChange w:id="0">
          <w:tblGrid>
            <w:gridCol w:w="1279"/>
            <w:gridCol w:w="1219"/>
            <w:gridCol w:w="1100"/>
            <w:gridCol w:w="2999"/>
            <w:gridCol w:w="720"/>
            <w:gridCol w:w="600"/>
            <w:gridCol w:w="674"/>
            <w:gridCol w:w="890"/>
            <w:gridCol w:w="388"/>
            <w:gridCol w:w="507"/>
            <w:gridCol w:w="884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العاشره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قطاع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قطاع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القاهرة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الكبري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والأسكندريه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وشمال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الصعيد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الطعن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981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لسنـة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السيـد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كامل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وشركاه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</w:t>
            </w:r>
          </w:p>
        </w:tc>
      </w:tr>
      <w:tr>
        <w:trPr>
          <w:cantSplit w:val="0"/>
          <w:trHeight w:val="51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العنوان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الدشطوتي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باب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الشعريه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القاهرة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الملف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10/0/261/35/5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  <w:tab/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ab/>
              <w:t xml:space="preserve">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نتشرف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بإبلاغ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سيادتكم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بأن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لجنة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الطعن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قررت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بجلستها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المنعقدة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بتاريخ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184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363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2017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بتحديد</w:t>
            </w:r>
          </w:p>
        </w:tc>
        <w:tc>
          <w:tcPr>
            <w:gridSpan w:val="4"/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الأرباح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2005</w:t>
            </w:r>
          </w:p>
        </w:tc>
        <w:tc>
          <w:tcPr>
            <w:gridSpan w:val="6"/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الوجه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الآتي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:-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1"/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كما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هو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موضح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بالقرار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المرفق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bidiVisual w:val="1"/>
        <w:tblW w:w="11395.0" w:type="dxa"/>
        <w:jc w:val="center"/>
        <w:tblLayout w:type="fixed"/>
        <w:tblLook w:val="0000"/>
      </w:tblPr>
      <w:tblGrid>
        <w:gridCol w:w="7190"/>
        <w:gridCol w:w="485"/>
        <w:gridCol w:w="3720"/>
        <w:tblGridChange w:id="0">
          <w:tblGrid>
            <w:gridCol w:w="7190"/>
            <w:gridCol w:w="485"/>
            <w:gridCol w:w="372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ومرسل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هذا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صورة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القرار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المذكور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والسلام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عليكم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ورحمة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وبركاته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6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رئيس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5" w:hRule="atLeast"/>
          <w:tblHeader w:val="0"/>
        </w:trPr>
        <w:tc>
          <w:tcPr>
            <w:gridSpan w:val="2"/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ab/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تحريرا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المستشار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/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شحاته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أبوزيد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(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نائب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رئيس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مجلس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الدولة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bidiVisual w:val="1"/>
        <w:tblW w:w="11395.0" w:type="dxa"/>
        <w:jc w:val="center"/>
        <w:tblLayout w:type="fixed"/>
        <w:tblLook w:val="0000"/>
      </w:tblPr>
      <w:tblGrid>
        <w:gridCol w:w="3595"/>
        <w:gridCol w:w="4080"/>
        <w:gridCol w:w="3720"/>
        <w:tblGridChange w:id="0">
          <w:tblGrid>
            <w:gridCol w:w="3595"/>
            <w:gridCol w:w="4080"/>
            <w:gridCol w:w="372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صورة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مرسلة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إلى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مأمورية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ضرائب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باب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الشعريه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إعلانا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لها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بقرار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لجنة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الطعن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ومرفق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معه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صورة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القرار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المذكور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للعلم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وإجراء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اللازم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والسلام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عليكم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ورحمة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وبركاته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رئيس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ab/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تحريرا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المستشار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/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شحاته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أبوزيد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(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نائب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رئيس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مجلس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الدولة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396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396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396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396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396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وزارة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المالية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396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مكتب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وزير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المالية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396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لجان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396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قطاع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القاهرةالكبري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والاسكندرية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وشمال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الصعيد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396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العاشرة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بالجلسة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السريه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المنعقدة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بمقر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15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منصور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لاظوغلي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القاهرة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2/4/2017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برئاسة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المستشار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شحاته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احمد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أبو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زيد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نائب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رئيس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مجلس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الدولة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وعضوية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الأستاذ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حسام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محمد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أحمد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كرم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الله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الأستاذ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رضا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احمد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والمحاسب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الأستاذ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عفت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احمد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شعبان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والمحاسب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عزه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عبد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السلام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حسن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وأمانة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/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مصطفي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عبد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الحميد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أحمد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صدر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التالي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981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2015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/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وشركاه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ونشاطه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تجارة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زجاج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مرايا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بالعنوان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/  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الدشطوتي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الشعريه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القاهرة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288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ضــــــــــــــــــــــــــــــــــــد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ضرائب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الشعريه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بشأن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2005 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/ 10/0/261/35/5 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الوقــــــائع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تتلخص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وقائع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حسبما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وارد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بيانه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تفصيلا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بمرفقات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يتضح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بمحاسبة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مذكرة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أرباح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يتضح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والربط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2004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موافقة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داخليه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بالأسس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الأتية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2004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=450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2×12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شهر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×18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×25%</w:t>
        <w:tab/>
        <w:t xml:space="preserve">=24300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مصاريف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عموميه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ab/>
        <w:tab/>
        <w:t xml:space="preserve">=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4100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2004</w:t>
        <w:tab/>
        <w:tab/>
        <w:tab/>
        <w:t xml:space="preserve">20200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ويضاف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إيراد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عقاري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للشريك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مصطفي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1267.5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،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الشريك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3804.3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للعقار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الدشطوتي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الكيان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شخصيه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إعتباريه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إقرارات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ضريبة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المبيعات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مقدمه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2005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المبيعات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الإجماليه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ab/>
        <w:tab/>
        <w:t xml:space="preserve">29442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المشتريات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الإجماليه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ab/>
        <w:tab/>
        <w:t xml:space="preserve">43656.19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الخصم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والتحصيل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تعاملات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2005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الإخطارات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إخطار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بنماذج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31، 32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بأرقام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صادر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728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16/9/2010، 1248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18/10/2011 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يلي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2005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الوارد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وتاريخه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ab/>
        <w:tab/>
        <w:t xml:space="preserve">7569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30/4/2006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ab/>
        <w:tab/>
        <w:tab/>
        <w:t xml:space="preserve">---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ab/>
        <w:tab/>
        <w:tab/>
        <w:tab/>
        <w:t xml:space="preserve">---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ab/>
        <w:tab/>
        <w:tab/>
        <w:t xml:space="preserve">---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ab/>
        <w:tab/>
        <w:tab/>
        <w:t xml:space="preserve">---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الوعاء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الخاضع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ab/>
        <w:tab/>
        <w:t xml:space="preserve">10642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المستحقه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ab/>
        <w:tab/>
        <w:t xml:space="preserve">2128.40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الأعمال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معاينه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20/2/2006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ملخصه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بالنسبة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للمكان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الدشطوتي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المساحه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حوالي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بالداخل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خشبي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خاص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بالتقطيع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لوح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زجاج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بجوارة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حوالي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لوح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زجاجي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مسطح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70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ومرايات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حديثه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وحوالي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شرائح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زجاج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الواحده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مسطح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أبيض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×30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زجاج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وحوالي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مايقرب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مرايا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صغيره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×15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للبيع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تستخدم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كمرايات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صغيرة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تباع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كأقوال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الحاضر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بسعر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للواحده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حوالي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120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قطعة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زجاج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أبيض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×10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الأجولة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البلاستيك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إطارات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بلاستيك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لزوم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المرايات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،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عمال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يقوموا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بتركيب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المرايات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الصغيره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بالإطارات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البلاستيك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حوالي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كرتون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الواحده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12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مرايا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داخل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الإطارات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البلاستيك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جاهزه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للبيع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أفاد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الحاضر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تباع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لتجار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الجمله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وسعر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الواحده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مياه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للعمال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خشبي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الكراتين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الفارغه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المعاينه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(2)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بالإضافه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واحد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الشركاء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وأبنه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بالنسبة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للمكان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الدشطوتي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الجزء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مساحة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3×2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ويتوسطه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خشبي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مساحته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1×2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سبرتو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وجمالكه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لزوم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دهان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المرايات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الحائط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حوالي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لوح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زجاج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70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الصنع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الجزء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الثاني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مساحته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للسقيه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بسقيه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لوح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الزجاج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المقطر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بنترات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الفضه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والصودا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الكاويه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لزوم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السقيه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البلدي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وجميع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الشغل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خاص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بالورشه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تشغيل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للغير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كأقوال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الحاضر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الشغل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عبارة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المرايات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الصغيره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تباع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الرصيف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الأتوبيس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المخزن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الدشطوتي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تروسيكل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لنقل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البضاعه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،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الكراتين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والجراكن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الفارغه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وأفاد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الحاضر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وجود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فروع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أخري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مخازن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المناقشه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22/2/2006:-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طبيعة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تجارة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زجاج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كالسنوات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السابقه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المرايات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الصغيرة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تباع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الرصيف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الباعه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الجائلين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وسعرها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يتعدي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ومقاسها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×15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لحساب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المنشاه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تشغيل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للغير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للتوقف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إخطار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تعاملات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الحكومه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القطاع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إستيراد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تصدير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توكيلات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تجاريه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فروع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اخري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سوي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المكان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الدشطوتي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مخزن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للمكان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الدشطوتي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إيراد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عقاري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للشركاء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مصطفي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عبارة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نصيب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لكل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الدشطوتي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المبيعات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وإجمالي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العموميه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والإدارية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موضحه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بالإقرارات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معاينه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30/9/2010 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العنوان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الدشطوتي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الشعريه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بالخارج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ترابيزه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لوح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زجاج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عامله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بتقطيعه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شرائح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زجاج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الواحده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بجواره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لوح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زجاج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70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ومساحه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الورشه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الداخل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حوالي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تقريبا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حوالي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لوح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زجاج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جاهزه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للتقطيع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خشبي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بتقطيع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اللوح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الزجاج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شرائح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شريحه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×15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أخر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بجوارة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لوح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زجاج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بدهان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الألواح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بالبلاك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الأسود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ويستخدم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مرايا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كراتين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مرايا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جاهزه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حوالي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كرتونه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الواحده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مرايا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داخل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الإطارات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البلاستيك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للبيع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حوالي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250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مرايا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جاهزه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×15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للبيع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يعبأ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كراتين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اخر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الورشة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يسارا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حمام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للعمال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ثانيا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العنوان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الدشطوتي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عبارة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جزئين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داخل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الجزء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مساحة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3×2.5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يتوسطه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مساحة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1×2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خاص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بدهان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المرايا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بالجمالكه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لوح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زجاج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70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الجزء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الثاني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مساحة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للسقيه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بسقية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لوح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الزجاج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المقطر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ونترات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الفضه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والصودا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الكيماويه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لزوم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تحويل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لوح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الزجاج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زجاج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شفاف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زجاج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مرايا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ثالثا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المخزن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الدشطوتي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جراكن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خاصه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ونترات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الفضه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المقطر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والكراتين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الفارغه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يستخدمها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تعبئة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المرايا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وأفاد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وجود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مخازن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فروع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أخري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الشغل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خاص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بالورشة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تشغيل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للغير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المناقشه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7/10/2010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ملخصه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كالتالي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الكيان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شركة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تضامن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:1-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 xml:space="preserve">2-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سمير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3-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مصطفي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طبيعة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تجارة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زجاج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مرايا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المرايا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الصغيره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الباعه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الجائلين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ببيعها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الأتوبيسات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المنشاه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مسجله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بضريبة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المبيعات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بتقديم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الإقرارات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مستندات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خاصه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ولكن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أستطع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الحصول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طرفه</w:t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والإيرادات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كالإقرارات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مخازن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فروع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أخري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سوي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مخزن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الدشطوتي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مصادر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دخل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اخري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سوي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الإيراد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العقاري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أقل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الإعفاء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فهو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2005  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بالأسس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الأتية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تقديرها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لأسس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أتفق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السابقه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</w:t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=450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2× 12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شهر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×21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 xml:space="preserve">=113400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تكلفة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لمادة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(78) ، (22)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91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2005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ab/>
        <w:tab/>
        <w:tab/>
        <w:t xml:space="preserve">=113400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ab/>
        <w:tab/>
        <w:tab/>
        <w:t xml:space="preserve">=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----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(22)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91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2005</w:t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2005</w:t>
        <w:tab/>
        <w:tab/>
        <w:tab/>
        <w:tab/>
        <w:t xml:space="preserve">113400</w:t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الإخطار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بنموذج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19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ضرائب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2005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صادر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5248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1/12/2010 </w:t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نموذج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19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ضريبة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بعريضة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أودعت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كتاب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وارد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707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6/12/2010</w:t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أحالت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الامانه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الفنيه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للجان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18199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29/11/2005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الأختصاص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الماثل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إعلان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قانونا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لجلسة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18/12/2016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يحضر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وتبين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ورود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الوصول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يفيد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الإعلان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</w:t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قررت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حجز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لجلسة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19/3/2017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التصريح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بالإطلاع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وتقديم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مذكرات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ومستندات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شهرين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اجل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لإتمام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المداولة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لجلسة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،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وأخر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17/2/2017</w:t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صدر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         </w:t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اللجـــــنة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الإطلاع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الآوراق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والمستندات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والمداولة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قانونا</w:t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أستوفي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أركانه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والشكليه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فهو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مقبول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شكلا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الموضوع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يحضر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أحد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أمام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تقضي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بالفصل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ضوء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المستندات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121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91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وزير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159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2007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بتعديل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140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اللائحه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التنفيذيه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للقانون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91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النموذج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وتفصيلا</w:t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دراستها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لأوراق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المنشأه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الأشخاص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الإعتباريه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ألزمها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لنص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(78)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91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2005 </w:t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وأمساك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الدفاتر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وحسابات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منتظمه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يفيد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قامت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بمحاسبة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تقديريا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لعدم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وجود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مستندات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للإيرادات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تمكن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المماورية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أستندت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الأسس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أتفق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السابقه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تقديرها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لإيرادات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للوصول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تبين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النهج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اتبعته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والمتمثل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ربط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الضريبة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تقديريا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باعتبار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الاعمال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خصم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تكاليف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لايقوم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صحيح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حكم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فليس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هناك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ايرادات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بدون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تكاليف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مصروفات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فالاقرار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يتناول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الايرادات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والدليل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المؤيد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يتضمن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ايضا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والمصروفات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اللازمه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لتحقيق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الايرادات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والفواتير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المؤيده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وعدم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المستندات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والفواتير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يتيح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للمصلحه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سلطه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واسعه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تقديرها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يتناسب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وطبيعه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وحجم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الايرادات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يجوز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اسقاط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التكاليف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والمصروفات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وعليه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الاقرارات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تقديمه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مؤيد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بالمستندات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عملا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بنص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90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91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لسنه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2005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تقدير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الايرادات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والتكاليف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والمصروفات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ضوء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البيانات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implified Arabic" w:cs="Simplified Arabic" w:eastAsia="Simplified Arabic" w:hAnsi="Simplified Arab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المتاحه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المثل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الإقرارات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أسس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الإتفاق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السابق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الأعمال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0000</w:t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فإن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ألتمسته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المغالاة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يتفق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طبيعة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وحجمه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ومراعاة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أستقرت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وهديا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توخي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العداله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وحسما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للخلاف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فإن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تقضي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بالأتي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تخفيض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سعر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الزجاج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للمتر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450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شهريا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كتقدير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أستقرت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محاسبة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نسبة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25% ،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إحتساب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عموميه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وإدارية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4360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لمقابلة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يتفق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يتناسب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طبيعة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وحجم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وتأسيسا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يعدل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ليكون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</w:t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=450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2×12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شهر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×19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×25%</w:t>
        <w:tab/>
        <w:tab/>
        <w:t xml:space="preserve">=25650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يخصم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العموميه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والإدارية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4360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2005</w:t>
        <w:tab/>
        <w:tab/>
        <w:tab/>
        <w:tab/>
        <w:tab/>
        <w:tab/>
        <w:tab/>
        <w:t xml:space="preserve">21290</w:t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لهذه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الأسباب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قررت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شكلا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الموضوع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تخفيض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لتكون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 </w:t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21290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جنيه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واحد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وعشرون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ومائتان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وتسعون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جنيها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  </w:t>
      </w:r>
    </w:p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ووفقا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لمنطوقه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السكرتارية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إخطار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بنسخة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بكتاب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موصى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الوصول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103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20" w:before="12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أمين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السر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                        </w:t>
        <w:tab/>
        <w:tab/>
        <w:tab/>
        <w:tab/>
        <w:tab/>
        <w:tab/>
        <w:tab/>
        <w:t xml:space="preserve">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رئيس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اللجنة</w:t>
      </w:r>
    </w:p>
    <w:p w:rsidR="00000000" w:rsidDel="00000000" w:rsidP="00000000" w:rsidRDefault="00000000" w:rsidRPr="00000000" w14:paraId="00000104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20" w:before="120" w:line="240" w:lineRule="auto"/>
        <w:ind w:left="720" w:right="0" w:firstLine="72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                                                                </w:t>
        <w:tab/>
        <w:tab/>
        <w:t xml:space="preserve">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المستشار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/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شحاته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احمد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أبو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زيد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    </w:t>
        <w:tab/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نائب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رئيس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مجلس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الدوله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  </w:t>
      </w:r>
    </w:p>
    <w:sectPr>
      <w:footerReference r:id="rId6" w:type="default"/>
      <w:footerReference r:id="rId7" w:type="even"/>
      <w:pgSz w:h="16838" w:w="11906" w:orient="portrait"/>
      <w:pgMar w:bottom="1134" w:top="1134" w:left="960" w:right="1134" w:header="720" w:footer="720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Simplified Arabic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0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bidi w:val="1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0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bidi w:val="1"/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0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bidi w:val="1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0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bidi w:val="1"/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-"/>
      <w:lvlJc w:val="left"/>
      <w:pPr>
        <w:ind w:left="360" w:hanging="360"/>
      </w:pPr>
      <w:rPr>
        <w:rFonts w:ascii="Simplified Arabic" w:cs="Simplified Arabic" w:eastAsia="Simplified Arabic" w:hAnsi="Simplified Arabic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Relationship Id="rId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